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3A5F"/>
          <w:sz w:val="40"/>
        </w:rPr>
        <w:t>STYLE GUIDE</w:t>
      </w:r>
    </w:p>
    <w:p>
      <w:pPr>
        <w:jc w:val="center"/>
      </w:pPr>
      <w:r>
        <w:rPr>
          <w:b/>
          <w:sz w:val="32"/>
        </w:rPr>
        <w:t>The High-Risk Offboarding</w:t>
      </w:r>
    </w:p>
    <w:p>
      <w:pPr>
        <w:jc w:val="center"/>
      </w:pPr>
      <w:r>
        <w:rPr>
          <w:sz w:val="22"/>
        </w:rPr>
        <w:t>Visual &amp; Voice Standards  ·  Articulate Storyline 360</w:t>
      </w:r>
    </w:p>
    <w:p/>
    <w:p>
      <w:r>
        <w:rPr>
          <w:sz w:val="22"/>
        </w:rPr>
        <w:t>This style guide defines the visual design, typography, tone, animation, and interaction standards for The High-Risk Offboarding Storyline scenario. All builds should reference this document to ensure consistency across slides, consequence screens, and the JavaScript audit report.</w:t>
      </w:r>
    </w:p>
    <w:p>
      <w:r>
        <w:br w:type="page"/>
      </w:r>
    </w:p>
    <w:p>
      <w:pPr>
        <w:pStyle w:val="Heading1"/>
      </w:pPr>
      <w:r>
        <w:rPr>
          <w:color w:val="1E3A5F"/>
        </w:rPr>
        <w:t>1. Color Palette</w:t>
      </w:r>
    </w:p>
    <w:p>
      <w:r>
        <w:rPr>
          <w:sz w:val="22"/>
        </w:rPr>
        <w:t>The palette is anchored in deep corporate navy — grounded, authoritative, and appropriate for compliance and financial services contexts. Consequence colors (red, amber, green) are used exclusively as functional signals — never decoratively.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val="clear" w:color="auto" w:fill="1E3A5F"/>
          </w:tcPr>
          <w:p/>
        </w:tc>
        <w:tc>
          <w:tcPr>
            <w:tcW w:type="dxa" w:w="1701"/>
            <w:shd w:val="clear" w:color="auto" w:fill="2563EB"/>
          </w:tcPr>
          <w:p/>
        </w:tc>
        <w:tc>
          <w:tcPr>
            <w:tcW w:type="dxa" w:w="1701"/>
            <w:shd w:val="clear" w:color="auto" w:fill="DC2626"/>
          </w:tcPr>
          <w:p/>
        </w:tc>
        <w:tc>
          <w:tcPr>
            <w:tcW w:type="dxa" w:w="1701"/>
            <w:shd w:val="clear" w:color="auto" w:fill="D97706"/>
          </w:tcPr>
          <w:p/>
        </w:tc>
        <w:tc>
          <w:tcPr>
            <w:tcW w:type="dxa" w:w="1701"/>
            <w:shd w:val="clear" w:color="auto" w:fill="16A34A"/>
          </w:tcPr>
          <w:p/>
        </w:tc>
        <w:tc>
          <w:tcPr>
            <w:tcW w:type="dxa" w:w="1701"/>
            <w:shd w:val="clear" w:color="auto" w:fill="EA580C"/>
          </w:tcPr>
          <w:p/>
        </w:tc>
      </w:tr>
      <w:tr>
        <w:tc>
          <w:tcPr>
            <w:tcW w:type="dxa" w:w="1440"/>
          </w:tcPr>
          <w:p>
            <w:r>
              <w:rPr>
                <w:sz w:val="16"/>
              </w:rPr>
              <w:t>Brand Navy</w:t>
              <w:br/>
              <w:t>#1E3A5F</w:t>
              <w:br/>
              <w:t>Headers, table fills, decision frames</w:t>
            </w:r>
          </w:p>
        </w:tc>
        <w:tc>
          <w:tcPr>
            <w:tcW w:type="dxa" w:w="1440"/>
          </w:tcPr>
          <w:p>
            <w:r>
              <w:rPr>
                <w:sz w:val="16"/>
              </w:rPr>
              <w:t>Mid Blue</w:t>
              <w:br/>
              <w:t>#2563EB</w:t>
              <w:br/>
              <w:t>Accents, CTA buttons, links</w:t>
            </w:r>
          </w:p>
        </w:tc>
        <w:tc>
          <w:tcPr>
            <w:tcW w:type="dxa" w:w="1440"/>
          </w:tcPr>
          <w:p>
            <w:r>
              <w:rPr>
                <w:sz w:val="16"/>
              </w:rPr>
              <w:t>Consequence Red</w:t>
              <w:br/>
              <w:t>#DC2626</w:t>
              <w:br/>
              <w:t>Consequence screens, breach alerts</w:t>
            </w:r>
          </w:p>
        </w:tc>
        <w:tc>
          <w:tcPr>
            <w:tcW w:type="dxa" w:w="1440"/>
          </w:tcPr>
          <w:p>
            <w:r>
              <w:rPr>
                <w:sz w:val="16"/>
              </w:rPr>
              <w:t>Warning Amber</w:t>
              <w:br/>
              <w:t>#D97706</w:t>
              <w:br/>
              <w:t>Warning screens, elevated risk indicators</w:t>
            </w:r>
          </w:p>
        </w:tc>
        <w:tc>
          <w:tcPr>
            <w:tcW w:type="dxa" w:w="1440"/>
          </w:tcPr>
          <w:p>
            <w:r>
              <w:rPr>
                <w:sz w:val="16"/>
              </w:rPr>
              <w:t>Correct Green</w:t>
              <w:br/>
              <w:t>#16A34A</w:t>
              <w:br/>
              <w:t>Confirmation screens, correct path</w:t>
            </w:r>
          </w:p>
        </w:tc>
        <w:tc>
          <w:tcPr>
            <w:tcW w:type="dxa" w:w="1440"/>
          </w:tcPr>
          <w:p>
            <w:r>
              <w:rPr>
                <w:sz w:val="16"/>
              </w:rPr>
              <w:t>Debrief Orange</w:t>
              <w:br/>
              <w:t>#EA580C</w:t>
              <w:br/>
              <w:t>Audit report, debrief phase</w:t>
            </w:r>
          </w:p>
        </w:tc>
      </w:tr>
    </w:tbl>
    <w:p/>
    <w:p>
      <w:pPr>
        <w:pStyle w:val="Heading2"/>
      </w:pPr>
      <w:r>
        <w:rPr>
          <w:color w:val="2D6A9F"/>
        </w:rPr>
        <w:t>Color Rules</w:t>
      </w:r>
    </w:p>
    <w:p>
      <w:pPr>
        <w:pStyle w:val="ListBullet"/>
      </w:pPr>
      <w:r>
        <w:rPr>
          <w:sz w:val="22"/>
        </w:rPr>
        <w:t>Maximum 3 colors on any single slide (background, primary text, one functional accent)</w:t>
      </w:r>
    </w:p>
    <w:p>
      <w:pPr>
        <w:pStyle w:val="ListBullet"/>
      </w:pPr>
      <w:r>
        <w:rPr>
          <w:sz w:val="22"/>
        </w:rPr>
        <w:t>Brand Navy used for structural elements only — headers, table fills, slide frames</w:t>
      </w:r>
    </w:p>
    <w:p>
      <w:pPr>
        <w:pStyle w:val="ListBullet"/>
      </w:pPr>
      <w:r>
        <w:rPr>
          <w:sz w:val="22"/>
        </w:rPr>
        <w:t>Consequence Red, Warning Amber, and Correct Green are functional signals — never use them decoratively</w:t>
      </w:r>
    </w:p>
    <w:p>
      <w:pPr>
        <w:pStyle w:val="ListBullet"/>
      </w:pPr>
      <w:r>
        <w:rPr>
          <w:sz w:val="22"/>
        </w:rPr>
        <w:t>Dark slides (navy background): white body text (#FFFFFF), light gray secondary text (#D1D5DB)</w:t>
      </w:r>
    </w:p>
    <w:p>
      <w:pPr>
        <w:pStyle w:val="ListBullet"/>
      </w:pPr>
      <w:r>
        <w:rPr>
          <w:sz w:val="22"/>
        </w:rPr>
        <w:t>Light slides (white/off-white background): dark text (#111827), navy accents</w:t>
      </w:r>
    </w:p>
    <w:p>
      <w:pPr>
        <w:pStyle w:val="ListBullet"/>
      </w:pPr>
      <w:r>
        <w:rPr>
          <w:sz w:val="22"/>
        </w:rPr>
        <w:t>Audit report background: white (#FFFFFF) with colored left-border accents per risk level</w:t>
      </w:r>
    </w:p>
    <w:p>
      <w:pPr>
        <w:pStyle w:val="ListBullet"/>
      </w:pPr>
      <w:r>
        <w:rPr>
          <w:sz w:val="22"/>
        </w:rPr>
        <w:t>Never mix consequence colors on the same screen — one signal per slide</w:t>
      </w:r>
    </w:p>
    <w:p>
      <w:pPr>
        <w:pStyle w:val="Heading1"/>
      </w:pPr>
      <w:r>
        <w:rPr>
          <w:color w:val="1E3A5F"/>
        </w:rPr>
        <w:t>2. Typography</w:t>
      </w:r>
    </w:p>
    <w:p>
      <w:r>
        <w:rPr>
          <w:sz w:val="22"/>
        </w:rPr>
        <w:t>Storyline 360 renders fonts from the system — use fonts that are universally available. This module uses a clean sans-serif hierarchy throughout. The tone is corporate and serious — no decorative or display type.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Element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Font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Size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Weight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Slide Header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28–32pt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Bold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Subheader / Label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18–22pt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Bold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Body Copy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16–18pt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Regular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Choice Button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14–16pt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Regular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Consequence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22–26pt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Bold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Caption / Source Note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Calibri or Arial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12pt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Regular, Italic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Audit Report (web obj)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Arial, system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14–16px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Regular + Bold for labels</w:t>
            </w:r>
          </w:p>
        </w:tc>
      </w:tr>
    </w:tbl>
    <w:p/>
    <w:p>
      <w:pPr>
        <w:pStyle w:val="Heading2"/>
      </w:pPr>
      <w:r>
        <w:rPr>
          <w:color w:val="2D6A9F"/>
        </w:rPr>
        <w:t>Typography Rules</w:t>
      </w:r>
    </w:p>
    <w:p>
      <w:pPr>
        <w:pStyle w:val="ListBullet"/>
      </w:pPr>
      <w:r>
        <w:rPr>
          <w:sz w:val="22"/>
        </w:rPr>
        <w:t>Never use more than 2 type weights on a single slide (bold + regular only)</w:t>
      </w:r>
    </w:p>
    <w:p>
      <w:pPr>
        <w:pStyle w:val="ListBullet"/>
      </w:pPr>
      <w:r>
        <w:rPr>
          <w:sz w:val="22"/>
        </w:rPr>
        <w:t>Never set body copy below 16pt — learners read on screens at varying distances</w:t>
      </w:r>
    </w:p>
    <w:p>
      <w:pPr>
        <w:pStyle w:val="ListBullet"/>
      </w:pPr>
      <w:r>
        <w:rPr>
          <w:sz w:val="22"/>
        </w:rPr>
        <w:t>Limit lines to 8–10 words max for on-screen readability</w:t>
      </w:r>
    </w:p>
    <w:p>
      <w:pPr>
        <w:pStyle w:val="ListBullet"/>
      </w:pPr>
      <w:r>
        <w:rPr>
          <w:sz w:val="22"/>
        </w:rPr>
        <w:t>Left-align body text and choice options; center-align headers and stat callouts only</w:t>
      </w:r>
    </w:p>
    <w:p>
      <w:pPr>
        <w:pStyle w:val="ListBullet"/>
      </w:pPr>
      <w:r>
        <w:rPr>
          <w:sz w:val="22"/>
        </w:rPr>
        <w:t>Never italicize for emphasis — use bold or color instead. Italics reserved for source citations only</w:t>
      </w:r>
    </w:p>
    <w:p>
      <w:pPr>
        <w:pStyle w:val="ListBullet"/>
      </w:pPr>
      <w:r>
        <w:rPr>
          <w:sz w:val="22"/>
        </w:rPr>
        <w:t>No decorative or script fonts — this is a corporate compliance scenario</w:t>
      </w:r>
    </w:p>
    <w:p>
      <w:pPr>
        <w:pStyle w:val="ListBullet"/>
      </w:pPr>
      <w:r>
        <w:rPr>
          <w:sz w:val="22"/>
        </w:rPr>
        <w:t>All monetary figures set in bold: $4.99M, $180,000</w:t>
      </w:r>
    </w:p>
    <w:p>
      <w:pPr>
        <w:pStyle w:val="Heading1"/>
      </w:pPr>
      <w:r>
        <w:rPr>
          <w:color w:val="1E3A5F"/>
        </w:rPr>
        <w:t>3. Layout &amp; Slide Anatomy</w:t>
      </w:r>
    </w:p>
    <w:p>
      <w:r>
        <w:rPr>
          <w:sz w:val="22"/>
        </w:rPr>
        <w:t>The module uses three primary layout modes. Every slide maps to exactly one of these templates. Do not create hybrid layouts — consistency reduces cognitive load across 14 slides.</w:t>
      </w:r>
    </w:p>
    <w:p/>
    <w:p>
      <w:pPr>
        <w:pStyle w:val="Heading2"/>
      </w:pPr>
      <w:r>
        <w:rPr>
          <w:color w:val="2D6A9F"/>
        </w:rPr>
        <w:t>Layout A — Dark (Hook, Setup, Decision slides)</w:t>
      </w:r>
    </w:p>
    <w:p>
      <w:pPr>
        <w:pStyle w:val="ListBullet"/>
      </w:pPr>
      <w:r>
        <w:rPr>
          <w:sz w:val="22"/>
        </w:rPr>
        <w:t>Background: Deep navy (#1E3A5F) or dark photographic image with semi-transparent overlay</w:t>
      </w:r>
    </w:p>
    <w:p>
      <w:pPr>
        <w:pStyle w:val="ListBullet"/>
      </w:pPr>
      <w:r>
        <w:rPr>
          <w:sz w:val="22"/>
        </w:rPr>
        <w:t>Header: White bold, top-left, 28–32pt</w:t>
      </w:r>
    </w:p>
    <w:p>
      <w:pPr>
        <w:pStyle w:val="ListBullet"/>
      </w:pPr>
      <w:r>
        <w:rPr>
          <w:sz w:val="22"/>
        </w:rPr>
        <w:t>Body copy: White, 16–18pt, left-aligned, max 60% slide width</w:t>
      </w:r>
    </w:p>
    <w:p>
      <w:pPr>
        <w:pStyle w:val="ListBullet"/>
      </w:pPr>
      <w:r>
        <w:rPr>
          <w:sz w:val="22"/>
        </w:rPr>
        <w:t>Choice buttons: White border, white text on transparent background; hover state fills navy-light (#2D6A9F)</w:t>
      </w:r>
    </w:p>
    <w:p>
      <w:pPr>
        <w:pStyle w:val="ListBullet"/>
      </w:pPr>
      <w:r>
        <w:rPr>
          <w:sz w:val="22"/>
        </w:rPr>
        <w:t>Right panel (optional): Character card or stat callout, right 35% of canvas</w:t>
      </w:r>
    </w:p>
    <w:p>
      <w:pPr>
        <w:pStyle w:val="Heading2"/>
      </w:pPr>
      <w:r>
        <w:rPr>
          <w:color w:val="2D6A9F"/>
        </w:rPr>
        <w:t>Layout B — Consequence / Warning (Consequence screens)</w:t>
      </w:r>
    </w:p>
    <w:p>
      <w:pPr>
        <w:pStyle w:val="ListBullet"/>
      </w:pPr>
      <w:r>
        <w:rPr>
          <w:sz w:val="22"/>
        </w:rPr>
        <w:t>Background: White (#FFFFFF) or very light gray (#F9FAFB)</w:t>
      </w:r>
    </w:p>
    <w:p>
      <w:pPr>
        <w:pStyle w:val="ListBullet"/>
      </w:pPr>
      <w:r>
        <w:rPr>
          <w:sz w:val="22"/>
        </w:rPr>
        <w:t>Left border accent: 6px solid bar in Consequence Red or Warning Amber</w:t>
      </w:r>
    </w:p>
    <w:p>
      <w:pPr>
        <w:pStyle w:val="ListBullet"/>
      </w:pPr>
      <w:r>
        <w:rPr>
          <w:sz w:val="22"/>
        </w:rPr>
        <w:t>Header: Consequence color, bold, 24–28pt — all caps (e.g., "SECURITY INCIDENT")</w:t>
      </w:r>
    </w:p>
    <w:p>
      <w:pPr>
        <w:pStyle w:val="ListBullet"/>
      </w:pPr>
      <w:r>
        <w:rPr>
          <w:sz w:val="22"/>
        </w:rPr>
        <w:t>Scenario text: Dark (#111827), 16pt, left-aligned prose</w:t>
      </w:r>
    </w:p>
    <w:p>
      <w:pPr>
        <w:pStyle w:val="ListBullet"/>
      </w:pPr>
      <w:r>
        <w:rPr>
          <w:sz w:val="22"/>
        </w:rPr>
        <w:t>Consequence data: Large bold stat in consequence color, centered callout box</w:t>
      </w:r>
    </w:p>
    <w:p>
      <w:pPr>
        <w:pStyle w:val="ListBullet"/>
      </w:pPr>
      <w:r>
        <w:rPr>
          <w:sz w:val="22"/>
        </w:rPr>
        <w:t>Source citation: 12pt italic gray below stat</w:t>
      </w:r>
    </w:p>
    <w:p>
      <w:pPr>
        <w:pStyle w:val="ListBullet"/>
      </w:pPr>
      <w:r>
        <w:rPr>
          <w:sz w:val="22"/>
        </w:rPr>
        <w:t>CTA Button: "Try Again" in Consequence Red (outline) or "Understood" in Warning Amber (outline)</w:t>
      </w:r>
    </w:p>
    <w:p>
      <w:pPr>
        <w:pStyle w:val="Heading2"/>
      </w:pPr>
      <w:r>
        <w:rPr>
          <w:color w:val="2D6A9F"/>
        </w:rPr>
        <w:t>Layout C — Confirmation (Correct path confirmation screens)</w:t>
      </w:r>
    </w:p>
    <w:p>
      <w:pPr>
        <w:pStyle w:val="ListBullet"/>
      </w:pPr>
      <w:r>
        <w:rPr>
          <w:sz w:val="22"/>
        </w:rPr>
        <w:t>Background: White or very light green (#F0FDF4)</w:t>
      </w:r>
    </w:p>
    <w:p>
      <w:pPr>
        <w:pStyle w:val="ListBullet"/>
      </w:pPr>
      <w:r>
        <w:rPr>
          <w:sz w:val="22"/>
        </w:rPr>
        <w:t>Left border accent: 6px solid Correct Green (#16A34A)</w:t>
      </w:r>
    </w:p>
    <w:p>
      <w:pPr>
        <w:pStyle w:val="ListBullet"/>
      </w:pPr>
      <w:r>
        <w:rPr>
          <w:sz w:val="22"/>
        </w:rPr>
        <w:t>Header: Correct Green, bold, 24pt — "SYNCHRONIZED ✓", "COMPLIANT ✓", "HARDWARE SECURED ✓"</w:t>
      </w:r>
    </w:p>
    <w:p>
      <w:pPr>
        <w:pStyle w:val="ListBullet"/>
      </w:pPr>
      <w:r>
        <w:rPr>
          <w:sz w:val="22"/>
        </w:rPr>
        <w:t>Body: Dark text, clean confirmation prose + best practice callout</w:t>
      </w:r>
    </w:p>
    <w:p>
      <w:pPr>
        <w:pStyle w:val="ListBullet"/>
      </w:pPr>
      <w:r>
        <w:rPr>
          <w:sz w:val="22"/>
        </w:rPr>
        <w:t>CTA Button: "Continue →" in Correct Green (filled)</w:t>
      </w:r>
    </w:p>
    <w:p>
      <w:pPr>
        <w:pStyle w:val="Heading2"/>
      </w:pPr>
      <w:r>
        <w:rPr>
          <w:color w:val="2D6A9F"/>
        </w:rPr>
        <w:t>Slide Canvas Size</w:t>
      </w:r>
    </w:p>
    <w:p>
      <w:r>
        <w:rPr>
          <w:sz w:val="22"/>
        </w:rPr>
        <w:t>720 × 540px (4:3). Standard Storyline 360 canvas. Do not change — all storyboard element positions reference this canvas size.</w:t>
      </w:r>
    </w:p>
    <w:p>
      <w:pPr>
        <w:pStyle w:val="Heading1"/>
      </w:pPr>
      <w:r>
        <w:rPr>
          <w:color w:val="1E3A5F"/>
        </w:rPr>
        <w:t>4. Buttons &amp; Interactive States</w:t>
      </w:r>
    </w:p>
    <w:p>
      <w:r>
        <w:rPr>
          <w:sz w:val="22"/>
        </w:rPr>
        <w:t>All interactive elements must have at least three states: Normal, Hover, and Selected (or Visited). Disabled states required for any button that should not be clickable before animations complete.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Button Type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Normal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Hover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Selected/Visited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Primary CTA (dark slides)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White border, white text, transparent fill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#2D6A9F,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#1E3A5F, white text, checkmark icon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Primary CTA (light slides)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#2563EB,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#1D4ED8,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#1E40AF, white text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Choice button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White border, white text, transparent fill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rgba(255,255,255,0.1)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#2563EB, white text, border accent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"Try Again" (consequence)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Outline: #DC2626, text: #DC2626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#DC2626,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N/A — jump fires immediately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"Continue" (confirmation)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#16A34A,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#15803D,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N/A — jump fires immediately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Restart (audit report)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Outline: #1E3A5F, text: #1E3A5F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Fill: #1E3A5F, white text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N/A</w:t>
            </w:r>
          </w:p>
        </w:tc>
      </w:tr>
    </w:tbl>
    <w:p>
      <w:pPr>
        <w:pStyle w:val="Heading1"/>
      </w:pPr>
      <w:r>
        <w:rPr>
          <w:color w:val="1E3A5F"/>
        </w:rPr>
        <w:t>5. Animation Standards</w:t>
      </w:r>
    </w:p>
    <w:p>
      <w:r>
        <w:rPr>
          <w:sz w:val="22"/>
        </w:rPr>
        <w:t>Animations should feel purposeful — every motion communicates something. Never animate just to animate. Default to subtlety.</w:t>
      </w:r>
    </w:p>
    <w:p/>
    <w:p>
      <w:pPr>
        <w:pStyle w:val="Heading2"/>
      </w:pPr>
      <w:r>
        <w:rPr>
          <w:color w:val="2D6A9F"/>
        </w:rPr>
        <w:t>Animation Rules</w:t>
      </w:r>
    </w:p>
    <w:p>
      <w:pPr>
        <w:pStyle w:val="ListBullet"/>
      </w:pPr>
      <w:r>
        <w:rPr>
          <w:sz w:val="22"/>
        </w:rPr>
        <w:t>Never animate interactive elements (buttons, choice cards) — they must be instantly clickable on slide entry</w:t>
      </w:r>
    </w:p>
    <w:p>
      <w:pPr>
        <w:pStyle w:val="ListBullet"/>
      </w:pPr>
      <w:r>
        <w:rPr>
          <w:sz w:val="22"/>
        </w:rPr>
        <w:t>Stagger sequential text reveals by 0.3–0.5s — enough to feel deliberate, not tedious</w:t>
      </w:r>
    </w:p>
    <w:p>
      <w:pPr>
        <w:pStyle w:val="ListBullet"/>
      </w:pPr>
      <w:r>
        <w:rPr>
          <w:sz w:val="22"/>
        </w:rPr>
        <w:t>Total auto-animation on any slide should complete within 4 seconds before the learner needs to interact</w:t>
      </w:r>
    </w:p>
    <w:p>
      <w:pPr>
        <w:pStyle w:val="ListBullet"/>
      </w:pPr>
      <w:r>
        <w:rPr>
          <w:sz w:val="22"/>
        </w:rPr>
        <w:t>Ease In/Out on all entrance animations — never Linear (mechanical) or Bounce (inappropriate for tone)</w:t>
      </w:r>
    </w:p>
    <w:p>
      <w:pPr>
        <w:pStyle w:val="ListBullet"/>
      </w:pPr>
      <w:r>
        <w:rPr>
          <w:sz w:val="22"/>
        </w:rPr>
        <w:t>Slide transitions: Fade, 0.5s. Do not use Fly, Push, or Spin</w:t>
      </w:r>
    </w:p>
    <w:p>
      <w:pPr>
        <w:pStyle w:val="ListBullet"/>
      </w:pPr>
      <w:r>
        <w:rPr>
          <w:sz w:val="22"/>
        </w:rPr>
        <w:t>Consequence stat counter-up animation: 0 → final value, 1.5s, Ease Out — use a JavaScript counter in a web object</w:t>
      </w:r>
    </w:p>
    <w:p>
      <w:pPr>
        <w:pStyle w:val="ListBullet"/>
      </w:pPr>
      <w:r>
        <w:rPr>
          <w:sz w:val="22"/>
        </w:rPr>
        <w:t>Character card: Slide in from right on entry, 0.3s Ease Out — used on Slides 2 and 7 only</w:t>
      </w:r>
    </w:p>
    <w:p>
      <w:pPr>
        <w:pStyle w:val="ListBullet"/>
      </w:pPr>
      <w:r>
        <w:rPr>
          <w:sz w:val="22"/>
        </w:rPr>
        <w:t>Deprovisioning order list (Slide 6): Items appear sequentially, 0.25s between each — learner reads as it builds</w:t>
      </w:r>
    </w:p>
    <w:p>
      <w:pPr>
        <w:pStyle w:val="Heading1"/>
      </w:pPr>
      <w:r>
        <w:rPr>
          <w:color w:val="1E3A5F"/>
        </w:rPr>
        <w:t>6. Voice &amp; Tone</w:t>
      </w:r>
    </w:p>
    <w:p>
      <w:r>
        <w:rPr>
          <w:sz w:val="22"/>
        </w:rPr>
        <w:t>The module speaks directly to the learner in second person throughout. The tone is direct, urgent, and professional — the learner is a capable adult facing real stakes, not a student being tested. Consequence screens are instructive, not punitive.</w:t>
      </w:r>
    </w:p>
    <w:p/>
    <w:p>
      <w:pPr>
        <w:pStyle w:val="Heading2"/>
      </w:pPr>
      <w:r>
        <w:rPr>
          <w:color w:val="2D6A9F"/>
        </w:rPr>
        <w:t>The Four Principles</w:t>
      </w:r>
    </w:p>
    <w:p>
      <w:pPr>
        <w:pStyle w:val="ListBullet"/>
      </w:pPr>
      <w:r>
        <w:rPr>
          <w:sz w:val="22"/>
        </w:rPr>
        <w:t>Direct — never hedge. "You revoked access" not "You might want to consider revoking access."</w:t>
      </w:r>
    </w:p>
    <w:p>
      <w:pPr>
        <w:pStyle w:val="ListBullet"/>
      </w:pPr>
      <w:r>
        <w:rPr>
          <w:sz w:val="22"/>
        </w:rPr>
        <w:t>Grounded in data — every consequence is sourced. Numbers anchor the stakes.</w:t>
      </w:r>
    </w:p>
    <w:p>
      <w:pPr>
        <w:pStyle w:val="ListBullet"/>
      </w:pPr>
      <w:r>
        <w:rPr>
          <w:sz w:val="22"/>
        </w:rPr>
        <w:t>Second person throughout — "You are the HR Manager." "What do you do?" Never third person.</w:t>
      </w:r>
    </w:p>
    <w:p>
      <w:pPr>
        <w:pStyle w:val="ListBullet"/>
      </w:pPr>
      <w:r>
        <w:rPr>
          <w:sz w:val="22"/>
        </w:rPr>
        <w:t>Instructive in consequence — wrong answers explain WHY, not just WHAT. The learning is in the debrief, not the penalty.</w:t>
      </w:r>
    </w:p>
    <w:p>
      <w:pPr>
        <w:pStyle w:val="Heading2"/>
      </w:pPr>
      <w:r>
        <w:rPr>
          <w:color w:val="2D6A9F"/>
        </w:rPr>
        <w:t>Do / Don't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✓  DO</w:t>
            </w:r>
          </w:p>
        </w:tc>
        <w:tc>
          <w:tcPr>
            <w:tcW w:type="dxa" w:w="4320"/>
            <w:shd w:val="clear" w:color="auto" w:fill="DC2626"/>
          </w:tcPr>
          <w:p>
            <w:r>
              <w:rPr>
                <w:b/>
                <w:color w:val="FFFFFF"/>
                <w:sz w:val="20"/>
              </w:rPr>
              <w:t>✗  DON'T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"The access window is open. Marcus is still on the system."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"Uh oh! Looks like that wasn't the right choice."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"$4.99M. 292 days. That's the cost of a malicious insider breach." (IBM, 2024)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"This could be very expensive for the company!"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"Choose carefully. The next 30 minutes determine whether this is clean or catastrophic."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"Think about what you'd do in this situation and pick the best answer."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"Try Again — and review the timing note above."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"Wrong! The correct answer was C. Try again."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"Consequence screens: instructive callout box explaining the principle violated."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"Consequence screens: just a red banner with a retry button."</w:t>
            </w:r>
          </w:p>
        </w:tc>
      </w:tr>
    </w:tbl>
    <w:p>
      <w:pPr>
        <w:pStyle w:val="Heading1"/>
      </w:pPr>
      <w:r>
        <w:rPr>
          <w:color w:val="1E3A5F"/>
        </w:rPr>
        <w:t>7. Consequence Screen Template</w:t>
      </w:r>
    </w:p>
    <w:p>
      <w:r>
        <w:rPr>
          <w:sz w:val="22"/>
        </w:rPr>
        <w:t>All consequence screens follow the same structure. Consistency reduces cognitive load — learners know what to expect when they make a wrong choice.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Element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Standard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Header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ALL CAPS consequence label in Consequence Red, bold, 24pt</w:t>
              <w:br/>
              <w:t>Examples: "SECURITY INCIDENT" / "ATTORNEY LETTER — 14 DAYS LATER" / "CHAIN OF CUSTODY — COMPROMISED"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Scenario Text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2–4 sentence narrative in past tense describing what happened as a result of the decision. Third-person narration. 16pt regular.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Consequence Data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Sourced financial or operational stat in large bold type (22–26pt), consequence color.</w:t>
              <w:br/>
              <w:t>Source citation in 12pt italic below the stat.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Instructional Callout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Bordered box (left border in consequence color, 4px). Explains the principle violated in 2–3 sentences. 14pt regular.</w:t>
              <w:br/>
              <w:t>This is the primary learning moment.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CTA Button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"Try Again" — outline style in Consequence Red. Fires variable reset trigger, then jumps back to decision slide.</w:t>
              <w:br/>
              <w:t>Warning screens use "Understood — Continue" in Warning Amber instead.</w:t>
            </w:r>
          </w:p>
        </w:tc>
      </w:tr>
    </w:tbl>
    <w:p>
      <w:pPr>
        <w:pStyle w:val="Heading1"/>
      </w:pPr>
      <w:r>
        <w:rPr>
          <w:color w:val="1E3A5F"/>
        </w:rPr>
        <w:t>8. Audit Report Design (Slide 14 — Web Object)</w:t>
      </w:r>
    </w:p>
    <w:p>
      <w:r>
        <w:rPr>
          <w:sz w:val="22"/>
        </w:rPr>
        <w:t>The audit report is generated by a JavaScript trigger and injected into a web object on Slide 14. The report must be readable, scannable, and clearly personalized. The learner should be able to identify their risk level within 3 seconds of the slide loading.</w:t>
      </w:r>
    </w:p>
    <w:p/>
    <w:p>
      <w:pPr>
        <w:pStyle w:val="Heading2"/>
      </w:pPr>
      <w:r>
        <w:rPr>
          <w:color w:val="2D6A9F"/>
        </w:rPr>
        <w:t>Report Structure</w:t>
      </w:r>
    </w:p>
    <w:p>
      <w:pPr>
        <w:pStyle w:val="ListBullet"/>
      </w:pPr>
      <w:r>
        <w:rPr>
          <w:sz w:val="22"/>
        </w:rPr>
        <w:t>Overall Risk Level badge — top of report, full-width colored banner</w:t>
      </w:r>
    </w:p>
    <w:p>
      <w:pPr>
        <w:pStyle w:val="ListBullet"/>
      </w:pPr>
      <w:r>
        <w:rPr>
          <w:sz w:val="22"/>
        </w:rPr>
        <w:t>Decision Log — 3-row table: Access Timing / Conversation Tone / Hardware Retrieval, each with SECURED ✓ / WARNING ⚠ / BREACH ✗</w:t>
      </w:r>
    </w:p>
    <w:p>
      <w:pPr>
        <w:pStyle w:val="ListBullet"/>
      </w:pPr>
      <w:r>
        <w:rPr>
          <w:sz w:val="22"/>
        </w:rPr>
        <w:t>Financial Exposure Estimate — calculated from riskScore, sourced to IBM/SHRM data</w:t>
      </w:r>
    </w:p>
    <w:p>
      <w:pPr>
        <w:pStyle w:val="ListBullet"/>
      </w:pPr>
      <w:r>
        <w:rPr>
          <w:sz w:val="22"/>
        </w:rPr>
        <w:t>Recommended Next Steps — 2–3 bullet points personalized to the learner's exact decision path</w:t>
      </w:r>
    </w:p>
    <w:p>
      <w:pPr>
        <w:pStyle w:val="Heading2"/>
      </w:pPr>
      <w:r>
        <w:rPr>
          <w:color w:val="2D6A9F"/>
        </w:rPr>
        <w:t>Risk Level Color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riskScore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Risk Level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Banner Color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Message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LOW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#16A34A (green)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Clean offboarding. No exposure identified.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1–20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MODERATE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#D97706 (amber)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Minor process gaps. Review the notes below.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21–50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ELEVATED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#EA580C (orange)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Significant exposure. Remediation required.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51+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CRITICAL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#DC2626 (red)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Multiple failure points. Immediate HR review recommended.</w:t>
            </w:r>
          </w:p>
        </w:tc>
      </w:tr>
    </w:tbl>
    <w:p>
      <w:pPr>
        <w:pStyle w:val="Heading1"/>
      </w:pPr>
      <w:r>
        <w:rPr>
          <w:color w:val="1E3A5F"/>
        </w:rPr>
        <w:t>9. Variable Reference</w:t>
      </w:r>
    </w:p>
    <w:p>
      <w:r>
        <w:rPr>
          <w:sz w:val="22"/>
        </w:rPr>
        <w:t>Quick reference for all Storyline variables. Use these exact names in all triggers — case-sensitive.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Variable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Default</w:t>
            </w:r>
          </w:p>
        </w:tc>
        <w:tc>
          <w:tcPr>
            <w:tcW w:type="dxa" w:w="216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Purpose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isAccessRevoked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True/False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False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Tracks whether IT access was revoked before the meeting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conversationTone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Number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0=compliant, 1=vague/risky, 2=aggressive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hardwareSecured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True/False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False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Tracks whether hardware was collected at termination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riskScore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Number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Cumulative score — increments at each suboptimal decision</w:t>
            </w:r>
          </w:p>
        </w:tc>
      </w:tr>
    </w:tbl>
    <w:p/>
    <w:p>
      <w:pPr>
        <w:pStyle w:val="Heading2"/>
      </w:pPr>
      <w:r>
        <w:rPr>
          <w:color w:val="2D6A9F"/>
        </w:rPr>
        <w:t>Reset Protocol</w:t>
      </w:r>
    </w:p>
    <w:p>
      <w:r>
        <w:rPr>
          <w:sz w:val="22"/>
        </w:rPr>
        <w:t>All variables must be explicitly reset on Slide 1 entry (via timeline start trigger) to prevent state carry-over between module attempts. Set each variable to its default value listed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